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2EFD9" w:themeColor="accent6" w:themeTint="33"/>
  <w:body>
    <w:p w:rsidR="000078A9" w:rsidRPr="00824DEB" w:rsidRDefault="00824DEB" w:rsidP="00824DEB">
      <w:pPr>
        <w:ind w:left="1288" w:hanging="1855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16</w:t>
      </w:r>
      <w:r w:rsidR="000078A9" w:rsidRPr="00824DEB">
        <w:rPr>
          <w:rFonts w:ascii="Verdana" w:hAnsi="Verdana"/>
          <w:b/>
          <w:bCs/>
        </w:rPr>
        <w:t>-03-2021:</w:t>
      </w:r>
      <w:bookmarkStart w:id="0" w:name="_GoBack"/>
      <w:bookmarkEnd w:id="0"/>
      <w:r w:rsidR="000078A9" w:rsidRPr="00824DEB">
        <w:rPr>
          <w:rFonts w:ascii="Verdana" w:hAnsi="Verdana"/>
          <w:b/>
          <w:bCs/>
          <w:color w:val="C45911" w:themeColor="accent2" w:themeShade="BF"/>
        </w:rPr>
        <w:t xml:space="preserve">Sealed Quotations are invited from the reputed firms for purchase of 10KVA Uninterrupted Power Supply with the following specifications and conditions to the Registrar, Sri </w:t>
      </w:r>
      <w:proofErr w:type="spellStart"/>
      <w:r w:rsidR="000078A9" w:rsidRPr="00824DEB">
        <w:rPr>
          <w:rFonts w:ascii="Verdana" w:hAnsi="Verdana"/>
          <w:b/>
          <w:bCs/>
          <w:color w:val="C45911" w:themeColor="accent2" w:themeShade="BF"/>
        </w:rPr>
        <w:t>Krishnadevaraya</w:t>
      </w:r>
      <w:proofErr w:type="spellEnd"/>
      <w:r w:rsidR="000078A9" w:rsidRPr="00824DEB">
        <w:rPr>
          <w:rFonts w:ascii="Verdana" w:hAnsi="Verdana"/>
          <w:b/>
          <w:bCs/>
          <w:color w:val="C45911" w:themeColor="accent2" w:themeShade="BF"/>
        </w:rPr>
        <w:t xml:space="preserve"> University called by the Registrar, Sri </w:t>
      </w:r>
      <w:proofErr w:type="spellStart"/>
      <w:r w:rsidR="000078A9" w:rsidRPr="00824DEB">
        <w:rPr>
          <w:rFonts w:ascii="Verdana" w:hAnsi="Verdana"/>
          <w:b/>
          <w:bCs/>
          <w:color w:val="C45911" w:themeColor="accent2" w:themeShade="BF"/>
        </w:rPr>
        <w:t>Krishnadevaraya</w:t>
      </w:r>
      <w:proofErr w:type="spellEnd"/>
      <w:r w:rsidR="000078A9" w:rsidRPr="00824DEB">
        <w:rPr>
          <w:rFonts w:ascii="Verdana" w:hAnsi="Verdana"/>
          <w:b/>
          <w:bCs/>
          <w:color w:val="C45911" w:themeColor="accent2" w:themeShade="BF"/>
        </w:rPr>
        <w:t xml:space="preserve"> University</w:t>
      </w:r>
      <w:r w:rsidR="003F267C" w:rsidRPr="00824DEB">
        <w:rPr>
          <w:rFonts w:ascii="Verdana" w:hAnsi="Verdana"/>
          <w:b/>
          <w:bCs/>
          <w:color w:val="C45911" w:themeColor="accent2" w:themeShade="BF"/>
        </w:rPr>
        <w:t xml:space="preserve">, </w:t>
      </w:r>
      <w:proofErr w:type="spellStart"/>
      <w:r w:rsidR="003F267C" w:rsidRPr="00824DEB">
        <w:rPr>
          <w:rFonts w:ascii="Verdana" w:hAnsi="Verdana"/>
          <w:b/>
          <w:bCs/>
          <w:color w:val="C45911" w:themeColor="accent2" w:themeShade="BF"/>
        </w:rPr>
        <w:t>Anantapuramu</w:t>
      </w:r>
      <w:proofErr w:type="spellEnd"/>
      <w:r w:rsidR="003F267C" w:rsidRPr="00824DEB">
        <w:rPr>
          <w:rFonts w:ascii="Verdana" w:hAnsi="Verdana"/>
          <w:b/>
          <w:bCs/>
          <w:color w:val="C45911" w:themeColor="accent2" w:themeShade="BF"/>
        </w:rPr>
        <w:t xml:space="preserve"> – 515 003</w:t>
      </w:r>
    </w:p>
    <w:tbl>
      <w:tblPr>
        <w:tblStyle w:val="TableGrid"/>
        <w:tblW w:w="7779" w:type="dxa"/>
        <w:tblInd w:w="1288" w:type="dxa"/>
        <w:shd w:val="clear" w:color="auto" w:fill="FBE4D5" w:themeFill="accent2" w:themeFillTint="33"/>
        <w:tblLook w:val="04A0"/>
      </w:tblPr>
      <w:tblGrid>
        <w:gridCol w:w="905"/>
        <w:gridCol w:w="5542"/>
        <w:gridCol w:w="1332"/>
      </w:tblGrid>
      <w:tr w:rsidR="007411C4" w:rsidRPr="00824DEB" w:rsidTr="007411C4">
        <w:tc>
          <w:tcPr>
            <w:tcW w:w="732" w:type="dxa"/>
            <w:shd w:val="clear" w:color="auto" w:fill="FBE4D5" w:themeFill="accent2" w:themeFillTint="33"/>
          </w:tcPr>
          <w:p w:rsidR="003F267C" w:rsidRPr="00824DEB" w:rsidRDefault="003F267C" w:rsidP="000078A9">
            <w:pPr>
              <w:jc w:val="both"/>
              <w:rPr>
                <w:rFonts w:ascii="Verdana" w:hAnsi="Verdana"/>
                <w:b/>
                <w:bCs/>
                <w:color w:val="538135" w:themeColor="accent6" w:themeShade="BF"/>
              </w:rPr>
            </w:pPr>
            <w:r w:rsidRPr="00824DEB">
              <w:rPr>
                <w:rFonts w:ascii="Verdana" w:hAnsi="Verdana"/>
                <w:b/>
                <w:bCs/>
                <w:color w:val="538135" w:themeColor="accent6" w:themeShade="BF"/>
              </w:rPr>
              <w:t>S.NO.</w:t>
            </w:r>
          </w:p>
        </w:tc>
        <w:tc>
          <w:tcPr>
            <w:tcW w:w="6056" w:type="dxa"/>
            <w:shd w:val="clear" w:color="auto" w:fill="FBE4D5" w:themeFill="accent2" w:themeFillTint="33"/>
          </w:tcPr>
          <w:p w:rsidR="003F267C" w:rsidRPr="00824DEB" w:rsidRDefault="003F267C" w:rsidP="000078A9">
            <w:pPr>
              <w:jc w:val="both"/>
              <w:rPr>
                <w:rFonts w:ascii="Verdana" w:hAnsi="Verdana"/>
                <w:b/>
                <w:bCs/>
                <w:color w:val="538135" w:themeColor="accent6" w:themeShade="BF"/>
              </w:rPr>
            </w:pPr>
            <w:r w:rsidRPr="00824DEB">
              <w:rPr>
                <w:rFonts w:ascii="Verdana" w:hAnsi="Verdana"/>
                <w:b/>
                <w:bCs/>
                <w:color w:val="538135" w:themeColor="accent6" w:themeShade="BF"/>
              </w:rPr>
              <w:t>Description of Item</w:t>
            </w:r>
          </w:p>
        </w:tc>
        <w:tc>
          <w:tcPr>
            <w:tcW w:w="991" w:type="dxa"/>
            <w:shd w:val="clear" w:color="auto" w:fill="FBE4D5" w:themeFill="accent2" w:themeFillTint="33"/>
          </w:tcPr>
          <w:p w:rsidR="003F267C" w:rsidRPr="00824DEB" w:rsidRDefault="003F267C" w:rsidP="000078A9">
            <w:pPr>
              <w:jc w:val="both"/>
              <w:rPr>
                <w:rFonts w:ascii="Verdana" w:hAnsi="Verdana"/>
                <w:b/>
                <w:bCs/>
                <w:color w:val="538135" w:themeColor="accent6" w:themeShade="BF"/>
              </w:rPr>
            </w:pPr>
            <w:r w:rsidRPr="00824DEB">
              <w:rPr>
                <w:rFonts w:ascii="Verdana" w:hAnsi="Verdana"/>
                <w:b/>
                <w:bCs/>
                <w:color w:val="538135" w:themeColor="accent6" w:themeShade="BF"/>
              </w:rPr>
              <w:t>Qty. in Numbers</w:t>
            </w:r>
          </w:p>
        </w:tc>
      </w:tr>
      <w:tr w:rsidR="007411C4" w:rsidRPr="00824DEB" w:rsidTr="007411C4">
        <w:tc>
          <w:tcPr>
            <w:tcW w:w="732" w:type="dxa"/>
            <w:shd w:val="clear" w:color="auto" w:fill="FBE4D5" w:themeFill="accent2" w:themeFillTint="33"/>
          </w:tcPr>
          <w:p w:rsidR="003F267C" w:rsidRPr="00824DEB" w:rsidRDefault="003F267C" w:rsidP="000078A9">
            <w:pPr>
              <w:jc w:val="both"/>
              <w:rPr>
                <w:rFonts w:ascii="Verdana" w:hAnsi="Verdana"/>
                <w:b/>
                <w:bCs/>
                <w:color w:val="538135" w:themeColor="accent6" w:themeShade="BF"/>
              </w:rPr>
            </w:pPr>
            <w:r w:rsidRPr="00824DEB">
              <w:rPr>
                <w:rFonts w:ascii="Verdana" w:hAnsi="Verdana"/>
                <w:b/>
                <w:bCs/>
                <w:color w:val="538135" w:themeColor="accent6" w:themeShade="BF"/>
              </w:rPr>
              <w:t>1</w:t>
            </w:r>
          </w:p>
        </w:tc>
        <w:tc>
          <w:tcPr>
            <w:tcW w:w="6056" w:type="dxa"/>
            <w:shd w:val="clear" w:color="auto" w:fill="FBE4D5" w:themeFill="accent2" w:themeFillTint="33"/>
          </w:tcPr>
          <w:p w:rsidR="003F267C" w:rsidRPr="00824DEB" w:rsidRDefault="003F267C" w:rsidP="003F267C">
            <w:pPr>
              <w:jc w:val="both"/>
              <w:rPr>
                <w:rFonts w:ascii="Verdana" w:hAnsi="Verdana"/>
                <w:b/>
                <w:bCs/>
                <w:color w:val="538135" w:themeColor="accent6" w:themeShade="BF"/>
              </w:rPr>
            </w:pPr>
            <w:r w:rsidRPr="00824DEB">
              <w:rPr>
                <w:rFonts w:ascii="Verdana" w:hAnsi="Verdana"/>
                <w:b/>
                <w:bCs/>
                <w:color w:val="538135" w:themeColor="accent6" w:themeShade="BF"/>
              </w:rPr>
              <w:t>10KVA Uninterrupted Power Supply (NUMERIC/ SOCOMEC MAKE) supporting 4-Hours Backup.</w:t>
            </w:r>
          </w:p>
          <w:p w:rsidR="003F267C" w:rsidRPr="00824DEB" w:rsidRDefault="003F267C" w:rsidP="000078A9">
            <w:pPr>
              <w:jc w:val="both"/>
              <w:rPr>
                <w:rFonts w:ascii="Verdana" w:hAnsi="Verdana"/>
                <w:b/>
                <w:bCs/>
                <w:color w:val="538135" w:themeColor="accent6" w:themeShade="BF"/>
              </w:rPr>
            </w:pPr>
          </w:p>
        </w:tc>
        <w:tc>
          <w:tcPr>
            <w:tcW w:w="991" w:type="dxa"/>
            <w:shd w:val="clear" w:color="auto" w:fill="FBE4D5" w:themeFill="accent2" w:themeFillTint="33"/>
          </w:tcPr>
          <w:p w:rsidR="003F267C" w:rsidRPr="00824DEB" w:rsidRDefault="003F267C" w:rsidP="003F267C">
            <w:pPr>
              <w:jc w:val="center"/>
              <w:rPr>
                <w:rFonts w:ascii="Verdana" w:hAnsi="Verdana"/>
                <w:b/>
                <w:bCs/>
                <w:color w:val="538135" w:themeColor="accent6" w:themeShade="BF"/>
              </w:rPr>
            </w:pPr>
            <w:r w:rsidRPr="00824DEB">
              <w:rPr>
                <w:rFonts w:ascii="Verdana" w:hAnsi="Verdana"/>
                <w:b/>
                <w:bCs/>
                <w:color w:val="538135" w:themeColor="accent6" w:themeShade="BF"/>
              </w:rPr>
              <w:t>2</w:t>
            </w:r>
          </w:p>
        </w:tc>
      </w:tr>
      <w:tr w:rsidR="007411C4" w:rsidRPr="00824DEB" w:rsidTr="007411C4">
        <w:tc>
          <w:tcPr>
            <w:tcW w:w="732" w:type="dxa"/>
            <w:shd w:val="clear" w:color="auto" w:fill="FBE4D5" w:themeFill="accent2" w:themeFillTint="33"/>
          </w:tcPr>
          <w:p w:rsidR="003F267C" w:rsidRPr="00824DEB" w:rsidRDefault="003F267C" w:rsidP="000078A9">
            <w:pPr>
              <w:jc w:val="both"/>
              <w:rPr>
                <w:rFonts w:ascii="Verdana" w:hAnsi="Verdana"/>
                <w:b/>
                <w:bCs/>
                <w:color w:val="538135" w:themeColor="accent6" w:themeShade="BF"/>
              </w:rPr>
            </w:pPr>
            <w:r w:rsidRPr="00824DEB">
              <w:rPr>
                <w:rFonts w:ascii="Verdana" w:hAnsi="Verdana"/>
                <w:b/>
                <w:bCs/>
                <w:color w:val="538135" w:themeColor="accent6" w:themeShade="BF"/>
              </w:rPr>
              <w:t>2</w:t>
            </w:r>
          </w:p>
        </w:tc>
        <w:tc>
          <w:tcPr>
            <w:tcW w:w="6056" w:type="dxa"/>
            <w:shd w:val="clear" w:color="auto" w:fill="FBE4D5" w:themeFill="accent2" w:themeFillTint="33"/>
          </w:tcPr>
          <w:p w:rsidR="003F267C" w:rsidRPr="00824DEB" w:rsidRDefault="003F267C" w:rsidP="003F267C">
            <w:pPr>
              <w:jc w:val="both"/>
              <w:rPr>
                <w:rFonts w:ascii="Verdana" w:hAnsi="Verdana"/>
                <w:b/>
                <w:bCs/>
                <w:color w:val="538135" w:themeColor="accent6" w:themeShade="BF"/>
              </w:rPr>
            </w:pPr>
            <w:proofErr w:type="spellStart"/>
            <w:r w:rsidRPr="00824DEB">
              <w:rPr>
                <w:rFonts w:ascii="Verdana" w:hAnsi="Verdana"/>
                <w:b/>
                <w:bCs/>
                <w:color w:val="538135" w:themeColor="accent6" w:themeShade="BF"/>
              </w:rPr>
              <w:t>Amron</w:t>
            </w:r>
            <w:proofErr w:type="spellEnd"/>
            <w:r w:rsidRPr="00824DEB">
              <w:rPr>
                <w:rFonts w:ascii="Verdana" w:hAnsi="Verdana"/>
                <w:b/>
                <w:bCs/>
                <w:color w:val="538135" w:themeColor="accent6" w:themeShade="BF"/>
              </w:rPr>
              <w:t xml:space="preserve"> Quanta SMF 100AH Batteries </w:t>
            </w:r>
            <w:r w:rsidRPr="00824DEB">
              <w:rPr>
                <w:rFonts w:ascii="Verdana" w:hAnsi="Verdana"/>
                <w:b/>
                <w:bCs/>
                <w:color w:val="538135" w:themeColor="accent6" w:themeShade="BF"/>
              </w:rPr>
              <w:tab/>
            </w:r>
          </w:p>
          <w:p w:rsidR="003F267C" w:rsidRPr="00824DEB" w:rsidRDefault="003F267C" w:rsidP="003F267C">
            <w:pPr>
              <w:jc w:val="both"/>
              <w:rPr>
                <w:rFonts w:ascii="Verdana" w:hAnsi="Verdana"/>
                <w:b/>
                <w:bCs/>
                <w:color w:val="538135" w:themeColor="accent6" w:themeShade="BF"/>
              </w:rPr>
            </w:pPr>
            <w:r w:rsidRPr="00824DEB">
              <w:rPr>
                <w:rFonts w:ascii="Verdana" w:hAnsi="Verdana"/>
                <w:b/>
                <w:bCs/>
                <w:color w:val="538135" w:themeColor="accent6" w:themeShade="BF"/>
              </w:rPr>
              <w:t>(24 Nos for each UPS)</w:t>
            </w:r>
          </w:p>
          <w:p w:rsidR="003F267C" w:rsidRPr="00824DEB" w:rsidRDefault="003F267C" w:rsidP="000078A9">
            <w:pPr>
              <w:jc w:val="both"/>
              <w:rPr>
                <w:rFonts w:ascii="Verdana" w:hAnsi="Verdana"/>
                <w:b/>
                <w:bCs/>
                <w:color w:val="538135" w:themeColor="accent6" w:themeShade="BF"/>
              </w:rPr>
            </w:pPr>
          </w:p>
        </w:tc>
        <w:tc>
          <w:tcPr>
            <w:tcW w:w="991" w:type="dxa"/>
            <w:shd w:val="clear" w:color="auto" w:fill="FBE4D5" w:themeFill="accent2" w:themeFillTint="33"/>
          </w:tcPr>
          <w:p w:rsidR="003F267C" w:rsidRPr="00824DEB" w:rsidRDefault="003F267C" w:rsidP="003F267C">
            <w:pPr>
              <w:jc w:val="center"/>
              <w:rPr>
                <w:rFonts w:ascii="Verdana" w:hAnsi="Verdana"/>
                <w:b/>
                <w:bCs/>
                <w:color w:val="538135" w:themeColor="accent6" w:themeShade="BF"/>
              </w:rPr>
            </w:pPr>
            <w:r w:rsidRPr="00824DEB">
              <w:rPr>
                <w:rFonts w:ascii="Verdana" w:hAnsi="Verdana"/>
                <w:b/>
                <w:bCs/>
                <w:color w:val="538135" w:themeColor="accent6" w:themeShade="BF"/>
              </w:rPr>
              <w:t>48</w:t>
            </w:r>
          </w:p>
        </w:tc>
      </w:tr>
      <w:tr w:rsidR="007411C4" w:rsidRPr="00824DEB" w:rsidTr="007411C4">
        <w:tc>
          <w:tcPr>
            <w:tcW w:w="732" w:type="dxa"/>
            <w:shd w:val="clear" w:color="auto" w:fill="FBE4D5" w:themeFill="accent2" w:themeFillTint="33"/>
          </w:tcPr>
          <w:p w:rsidR="003F267C" w:rsidRPr="00824DEB" w:rsidRDefault="003F267C" w:rsidP="000078A9">
            <w:pPr>
              <w:jc w:val="both"/>
              <w:rPr>
                <w:rFonts w:ascii="Verdana" w:hAnsi="Verdana"/>
                <w:b/>
                <w:bCs/>
                <w:color w:val="538135" w:themeColor="accent6" w:themeShade="BF"/>
              </w:rPr>
            </w:pPr>
            <w:r w:rsidRPr="00824DEB">
              <w:rPr>
                <w:rFonts w:ascii="Verdana" w:hAnsi="Verdana"/>
                <w:b/>
                <w:bCs/>
                <w:color w:val="538135" w:themeColor="accent6" w:themeShade="BF"/>
              </w:rPr>
              <w:t>3</w:t>
            </w:r>
          </w:p>
        </w:tc>
        <w:tc>
          <w:tcPr>
            <w:tcW w:w="6056" w:type="dxa"/>
            <w:shd w:val="clear" w:color="auto" w:fill="FBE4D5" w:themeFill="accent2" w:themeFillTint="33"/>
          </w:tcPr>
          <w:p w:rsidR="003F267C" w:rsidRPr="00824DEB" w:rsidRDefault="003F267C" w:rsidP="003F267C">
            <w:pPr>
              <w:jc w:val="both"/>
              <w:rPr>
                <w:rFonts w:ascii="Verdana" w:hAnsi="Verdana"/>
                <w:b/>
                <w:bCs/>
                <w:color w:val="538135" w:themeColor="accent6" w:themeShade="BF"/>
              </w:rPr>
            </w:pPr>
            <w:r w:rsidRPr="00824DEB">
              <w:rPr>
                <w:rFonts w:ascii="Verdana" w:hAnsi="Verdana"/>
                <w:b/>
                <w:bCs/>
                <w:color w:val="538135" w:themeColor="accent6" w:themeShade="BF"/>
              </w:rPr>
              <w:t>Battery stands for holding 24 Numbers of Batteries</w:t>
            </w:r>
          </w:p>
          <w:p w:rsidR="003F267C" w:rsidRPr="00824DEB" w:rsidRDefault="003F267C" w:rsidP="000078A9">
            <w:pPr>
              <w:jc w:val="both"/>
              <w:rPr>
                <w:rFonts w:ascii="Verdana" w:hAnsi="Verdana"/>
                <w:b/>
                <w:bCs/>
                <w:color w:val="538135" w:themeColor="accent6" w:themeShade="BF"/>
              </w:rPr>
            </w:pPr>
          </w:p>
        </w:tc>
        <w:tc>
          <w:tcPr>
            <w:tcW w:w="991" w:type="dxa"/>
            <w:shd w:val="clear" w:color="auto" w:fill="FBE4D5" w:themeFill="accent2" w:themeFillTint="33"/>
          </w:tcPr>
          <w:p w:rsidR="003F267C" w:rsidRPr="00824DEB" w:rsidRDefault="003F267C" w:rsidP="003F267C">
            <w:pPr>
              <w:jc w:val="center"/>
              <w:rPr>
                <w:rFonts w:ascii="Verdana" w:hAnsi="Verdana"/>
                <w:b/>
                <w:bCs/>
                <w:color w:val="538135" w:themeColor="accent6" w:themeShade="BF"/>
              </w:rPr>
            </w:pPr>
            <w:r w:rsidRPr="00824DEB">
              <w:rPr>
                <w:rFonts w:ascii="Verdana" w:hAnsi="Verdana"/>
                <w:b/>
                <w:bCs/>
                <w:color w:val="538135" w:themeColor="accent6" w:themeShade="BF"/>
              </w:rPr>
              <w:t>2</w:t>
            </w:r>
          </w:p>
        </w:tc>
      </w:tr>
      <w:tr w:rsidR="007411C4" w:rsidRPr="00824DEB" w:rsidTr="007411C4">
        <w:tc>
          <w:tcPr>
            <w:tcW w:w="732" w:type="dxa"/>
            <w:shd w:val="clear" w:color="auto" w:fill="FBE4D5" w:themeFill="accent2" w:themeFillTint="33"/>
          </w:tcPr>
          <w:p w:rsidR="003F267C" w:rsidRPr="00824DEB" w:rsidRDefault="003F267C" w:rsidP="000078A9">
            <w:pPr>
              <w:jc w:val="both"/>
              <w:rPr>
                <w:rFonts w:ascii="Verdana" w:hAnsi="Verdana"/>
                <w:b/>
                <w:bCs/>
                <w:color w:val="538135" w:themeColor="accent6" w:themeShade="BF"/>
              </w:rPr>
            </w:pPr>
            <w:r w:rsidRPr="00824DEB">
              <w:rPr>
                <w:rFonts w:ascii="Verdana" w:hAnsi="Verdana"/>
                <w:b/>
                <w:bCs/>
                <w:color w:val="538135" w:themeColor="accent6" w:themeShade="BF"/>
              </w:rPr>
              <w:t>4</w:t>
            </w:r>
          </w:p>
        </w:tc>
        <w:tc>
          <w:tcPr>
            <w:tcW w:w="6056" w:type="dxa"/>
            <w:shd w:val="clear" w:color="auto" w:fill="FBE4D5" w:themeFill="accent2" w:themeFillTint="33"/>
          </w:tcPr>
          <w:p w:rsidR="003F267C" w:rsidRPr="00824DEB" w:rsidRDefault="003F267C" w:rsidP="003F267C">
            <w:pPr>
              <w:jc w:val="both"/>
              <w:rPr>
                <w:rFonts w:ascii="Verdana" w:hAnsi="Verdana"/>
                <w:b/>
                <w:bCs/>
                <w:color w:val="538135" w:themeColor="accent6" w:themeShade="BF"/>
              </w:rPr>
            </w:pPr>
            <w:r w:rsidRPr="00824DEB">
              <w:rPr>
                <w:rFonts w:ascii="Verdana" w:hAnsi="Verdana"/>
                <w:b/>
                <w:bCs/>
                <w:color w:val="538135" w:themeColor="accent6" w:themeShade="BF"/>
              </w:rPr>
              <w:t>Installation Charges along with required amount</w:t>
            </w:r>
            <w:r w:rsidR="00BD020C">
              <w:rPr>
                <w:rFonts w:ascii="Verdana" w:hAnsi="Verdana"/>
                <w:b/>
                <w:bCs/>
                <w:color w:val="538135" w:themeColor="accent6" w:themeShade="BF"/>
              </w:rPr>
              <w:t xml:space="preserve"> of</w:t>
            </w:r>
            <w:r w:rsidRPr="00824DEB">
              <w:rPr>
                <w:rFonts w:ascii="Verdana" w:hAnsi="Verdana"/>
                <w:b/>
                <w:bCs/>
                <w:color w:val="538135" w:themeColor="accent6" w:themeShade="BF"/>
              </w:rPr>
              <w:t xml:space="preserve"> Cabling </w:t>
            </w:r>
          </w:p>
          <w:p w:rsidR="003F267C" w:rsidRPr="00824DEB" w:rsidRDefault="003F267C" w:rsidP="000078A9">
            <w:pPr>
              <w:jc w:val="both"/>
              <w:rPr>
                <w:rFonts w:ascii="Verdana" w:hAnsi="Verdana"/>
                <w:b/>
                <w:bCs/>
                <w:color w:val="538135" w:themeColor="accent6" w:themeShade="BF"/>
              </w:rPr>
            </w:pPr>
          </w:p>
        </w:tc>
        <w:tc>
          <w:tcPr>
            <w:tcW w:w="991" w:type="dxa"/>
            <w:shd w:val="clear" w:color="auto" w:fill="FBE4D5" w:themeFill="accent2" w:themeFillTint="33"/>
          </w:tcPr>
          <w:p w:rsidR="003F267C" w:rsidRPr="00824DEB" w:rsidRDefault="003F267C" w:rsidP="003F267C">
            <w:pPr>
              <w:jc w:val="center"/>
              <w:rPr>
                <w:rFonts w:ascii="Verdana" w:hAnsi="Verdana"/>
                <w:b/>
                <w:bCs/>
                <w:color w:val="538135" w:themeColor="accent6" w:themeShade="BF"/>
              </w:rPr>
            </w:pPr>
          </w:p>
        </w:tc>
      </w:tr>
    </w:tbl>
    <w:p w:rsidR="003F267C" w:rsidRDefault="003F267C" w:rsidP="007411C4">
      <w:pPr>
        <w:ind w:left="1288" w:hanging="1288"/>
        <w:jc w:val="both"/>
        <w:rPr>
          <w:rFonts w:ascii="Verdana" w:hAnsi="Verdana"/>
          <w:b/>
          <w:bCs/>
          <w:color w:val="FF0000"/>
        </w:rPr>
      </w:pPr>
      <w:r w:rsidRPr="00824DEB">
        <w:rPr>
          <w:rFonts w:ascii="Verdana" w:hAnsi="Verdana"/>
          <w:b/>
          <w:bCs/>
        </w:rPr>
        <w:tab/>
      </w:r>
      <w:proofErr w:type="gramStart"/>
      <w:r w:rsidRPr="00824DEB">
        <w:rPr>
          <w:rFonts w:ascii="Verdana" w:hAnsi="Verdana"/>
          <w:b/>
          <w:bCs/>
          <w:color w:val="FF0000"/>
        </w:rPr>
        <w:t>NOTE :</w:t>
      </w:r>
      <w:proofErr w:type="gramEnd"/>
      <w:r w:rsidRPr="00824DEB">
        <w:rPr>
          <w:rFonts w:ascii="Verdana" w:hAnsi="Verdana"/>
          <w:b/>
          <w:bCs/>
          <w:color w:val="FF0000"/>
        </w:rPr>
        <w:t xml:space="preserve"> offered price should be inclusive of GST</w:t>
      </w:r>
    </w:p>
    <w:p w:rsidR="00824DEB" w:rsidRPr="00BD020C" w:rsidRDefault="00824DEB" w:rsidP="007411C4">
      <w:pPr>
        <w:ind w:left="1288" w:hanging="1288"/>
        <w:jc w:val="both"/>
        <w:rPr>
          <w:rFonts w:ascii="Verdana" w:hAnsi="Verdana"/>
          <w:b/>
          <w:bCs/>
          <w:color w:val="2F5496" w:themeColor="accent1" w:themeShade="BF"/>
          <w:u w:val="single"/>
        </w:rPr>
      </w:pPr>
      <w:r>
        <w:rPr>
          <w:rFonts w:ascii="Verdana" w:hAnsi="Verdana"/>
          <w:b/>
          <w:bCs/>
          <w:color w:val="FF0000"/>
        </w:rPr>
        <w:tab/>
      </w:r>
      <w:r w:rsidRPr="00BD020C">
        <w:rPr>
          <w:rFonts w:ascii="Verdana" w:hAnsi="Verdana"/>
          <w:b/>
          <w:bCs/>
          <w:color w:val="2F5496" w:themeColor="accent1" w:themeShade="BF"/>
          <w:u w:val="single"/>
        </w:rPr>
        <w:t>TERMS &amp;</w:t>
      </w:r>
      <w:proofErr w:type="gramStart"/>
      <w:r w:rsidRPr="00BD020C">
        <w:rPr>
          <w:rFonts w:ascii="Verdana" w:hAnsi="Verdana"/>
          <w:b/>
          <w:bCs/>
          <w:color w:val="2F5496" w:themeColor="accent1" w:themeShade="BF"/>
          <w:u w:val="single"/>
        </w:rPr>
        <w:t>CONDITIONS :</w:t>
      </w:r>
      <w:proofErr w:type="gramEnd"/>
    </w:p>
    <w:p w:rsidR="00824DEB" w:rsidRPr="00824DEB" w:rsidRDefault="00824DEB" w:rsidP="00824DEB">
      <w:pPr>
        <w:pStyle w:val="ListParagraph"/>
        <w:numPr>
          <w:ilvl w:val="0"/>
          <w:numId w:val="3"/>
        </w:numPr>
        <w:jc w:val="both"/>
        <w:rPr>
          <w:rFonts w:ascii="Verdana" w:hAnsi="Verdana"/>
          <w:b/>
          <w:bCs/>
          <w:color w:val="2F5496" w:themeColor="accent1" w:themeShade="BF"/>
        </w:rPr>
      </w:pPr>
      <w:r w:rsidRPr="00824DEB">
        <w:rPr>
          <w:rFonts w:ascii="Verdana" w:hAnsi="Verdana"/>
          <w:b/>
          <w:bCs/>
          <w:color w:val="2F5496" w:themeColor="accent1" w:themeShade="BF"/>
        </w:rPr>
        <w:t>T</w:t>
      </w:r>
      <w:r w:rsidR="00BD020C">
        <w:rPr>
          <w:rFonts w:ascii="Verdana" w:hAnsi="Verdana"/>
          <w:b/>
          <w:bCs/>
          <w:color w:val="2F5496" w:themeColor="accent1" w:themeShade="BF"/>
        </w:rPr>
        <w:t>hree</w:t>
      </w:r>
      <w:r w:rsidRPr="00824DEB">
        <w:rPr>
          <w:rFonts w:ascii="Verdana" w:hAnsi="Verdana"/>
          <w:b/>
          <w:bCs/>
          <w:color w:val="2F5496" w:themeColor="accent1" w:themeShade="BF"/>
        </w:rPr>
        <w:t xml:space="preserve"> Years </w:t>
      </w:r>
      <w:r>
        <w:rPr>
          <w:rFonts w:ascii="Verdana" w:hAnsi="Verdana"/>
          <w:b/>
          <w:bCs/>
          <w:color w:val="2F5496" w:themeColor="accent1" w:themeShade="BF"/>
        </w:rPr>
        <w:t xml:space="preserve">warranty </w:t>
      </w:r>
      <w:r w:rsidRPr="00824DEB">
        <w:rPr>
          <w:rFonts w:ascii="Verdana" w:hAnsi="Verdana"/>
          <w:b/>
          <w:bCs/>
          <w:color w:val="2F5496" w:themeColor="accent1" w:themeShade="BF"/>
        </w:rPr>
        <w:t>for  Equipment</w:t>
      </w:r>
    </w:p>
    <w:p w:rsidR="00824DEB" w:rsidRDefault="00824DEB" w:rsidP="00824DEB">
      <w:pPr>
        <w:pStyle w:val="ListParagraph"/>
        <w:numPr>
          <w:ilvl w:val="0"/>
          <w:numId w:val="3"/>
        </w:numPr>
        <w:jc w:val="both"/>
        <w:rPr>
          <w:rFonts w:ascii="Verdana" w:hAnsi="Verdana"/>
          <w:b/>
          <w:bCs/>
          <w:color w:val="2F5496" w:themeColor="accent1" w:themeShade="BF"/>
        </w:rPr>
      </w:pPr>
      <w:r w:rsidRPr="00824DEB">
        <w:rPr>
          <w:rFonts w:ascii="Verdana" w:hAnsi="Verdana"/>
          <w:b/>
          <w:bCs/>
          <w:color w:val="2F5496" w:themeColor="accent1" w:themeShade="BF"/>
        </w:rPr>
        <w:t xml:space="preserve">100% payment </w:t>
      </w:r>
      <w:r w:rsidR="00BD020C">
        <w:rPr>
          <w:rFonts w:ascii="Verdana" w:hAnsi="Verdana"/>
          <w:b/>
          <w:bCs/>
          <w:color w:val="2F5496" w:themeColor="accent1" w:themeShade="BF"/>
        </w:rPr>
        <w:t>against a</w:t>
      </w:r>
      <w:r w:rsidRPr="00824DEB">
        <w:rPr>
          <w:rFonts w:ascii="Verdana" w:hAnsi="Verdana"/>
          <w:b/>
          <w:bCs/>
          <w:color w:val="2F5496" w:themeColor="accent1" w:themeShade="BF"/>
        </w:rPr>
        <w:t>fter installation</w:t>
      </w:r>
    </w:p>
    <w:p w:rsidR="00824DEB" w:rsidRDefault="00824DEB" w:rsidP="00824DEB">
      <w:pPr>
        <w:pStyle w:val="ListParagraph"/>
        <w:numPr>
          <w:ilvl w:val="0"/>
          <w:numId w:val="3"/>
        </w:numPr>
        <w:jc w:val="both"/>
        <w:rPr>
          <w:rFonts w:ascii="Verdana" w:hAnsi="Verdana"/>
          <w:b/>
          <w:bCs/>
          <w:color w:val="2F5496" w:themeColor="accent1" w:themeShade="BF"/>
        </w:rPr>
      </w:pPr>
      <w:r>
        <w:rPr>
          <w:rFonts w:ascii="Verdana" w:hAnsi="Verdana"/>
          <w:b/>
          <w:bCs/>
          <w:color w:val="2F5496" w:themeColor="accent1" w:themeShade="BF"/>
        </w:rPr>
        <w:t>Batteries Life</w:t>
      </w:r>
      <w:r w:rsidR="00BD020C">
        <w:rPr>
          <w:rFonts w:ascii="Verdana" w:hAnsi="Verdana"/>
          <w:b/>
          <w:bCs/>
          <w:color w:val="2F5496" w:themeColor="accent1" w:themeShade="BF"/>
        </w:rPr>
        <w:t>&amp; Guarantee</w:t>
      </w:r>
      <w:r>
        <w:rPr>
          <w:rFonts w:ascii="Verdana" w:hAnsi="Verdana"/>
          <w:b/>
          <w:bCs/>
          <w:color w:val="2F5496" w:themeColor="accent1" w:themeShade="BF"/>
        </w:rPr>
        <w:t xml:space="preserve"> should</w:t>
      </w:r>
      <w:r w:rsidR="00BD020C">
        <w:rPr>
          <w:rFonts w:ascii="Verdana" w:hAnsi="Verdana"/>
          <w:b/>
          <w:bCs/>
          <w:color w:val="2F5496" w:themeColor="accent1" w:themeShade="BF"/>
        </w:rPr>
        <w:t xml:space="preserve"> be</w:t>
      </w:r>
      <w:r>
        <w:rPr>
          <w:rFonts w:ascii="Verdana" w:hAnsi="Verdana"/>
          <w:b/>
          <w:bCs/>
          <w:color w:val="2F5496" w:themeColor="accent1" w:themeShade="BF"/>
        </w:rPr>
        <w:t xml:space="preserve"> specified clearly</w:t>
      </w:r>
    </w:p>
    <w:p w:rsidR="00BD020C" w:rsidRDefault="00BD020C" w:rsidP="00824DEB">
      <w:pPr>
        <w:pStyle w:val="ListParagraph"/>
        <w:numPr>
          <w:ilvl w:val="0"/>
          <w:numId w:val="3"/>
        </w:numPr>
        <w:jc w:val="both"/>
        <w:rPr>
          <w:rFonts w:ascii="Verdana" w:hAnsi="Verdana"/>
          <w:b/>
          <w:bCs/>
          <w:color w:val="2F5496" w:themeColor="accent1" w:themeShade="BF"/>
        </w:rPr>
      </w:pPr>
      <w:r>
        <w:rPr>
          <w:rFonts w:ascii="Verdana" w:hAnsi="Verdana"/>
          <w:b/>
          <w:bCs/>
          <w:color w:val="2F5496" w:themeColor="accent1" w:themeShade="BF"/>
        </w:rPr>
        <w:t>Transportation Charges must be inclusive</w:t>
      </w:r>
    </w:p>
    <w:p w:rsidR="00BD020C" w:rsidRDefault="00BD020C" w:rsidP="00824DEB">
      <w:pPr>
        <w:pStyle w:val="ListParagraph"/>
        <w:numPr>
          <w:ilvl w:val="0"/>
          <w:numId w:val="3"/>
        </w:numPr>
        <w:jc w:val="both"/>
        <w:rPr>
          <w:rFonts w:ascii="Verdana" w:hAnsi="Verdana"/>
          <w:b/>
          <w:bCs/>
          <w:color w:val="2F5496" w:themeColor="accent1" w:themeShade="BF"/>
        </w:rPr>
      </w:pPr>
      <w:r>
        <w:rPr>
          <w:rFonts w:ascii="Verdana" w:hAnsi="Verdana"/>
          <w:b/>
          <w:bCs/>
          <w:color w:val="2F5496" w:themeColor="accent1" w:themeShade="BF"/>
        </w:rPr>
        <w:t>Supplier should quote the price for above said make inverters and batteries only</w:t>
      </w:r>
    </w:p>
    <w:p w:rsidR="003F267C" w:rsidRPr="00824DEB" w:rsidRDefault="00824DEB" w:rsidP="00BD020C">
      <w:pPr>
        <w:spacing w:line="360" w:lineRule="auto"/>
        <w:ind w:left="1288" w:hanging="1288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color w:val="FF0000"/>
        </w:rPr>
        <w:tab/>
      </w:r>
      <w:r w:rsidR="00BD020C">
        <w:rPr>
          <w:rFonts w:ascii="Verdana" w:hAnsi="Verdana"/>
          <w:b/>
          <w:bCs/>
        </w:rPr>
        <w:tab/>
      </w:r>
      <w:r w:rsidR="00BD020C">
        <w:rPr>
          <w:rFonts w:ascii="Verdana" w:hAnsi="Verdana"/>
          <w:b/>
          <w:bCs/>
        </w:rPr>
        <w:tab/>
      </w:r>
      <w:r w:rsidR="003F267C" w:rsidRPr="00824DEB">
        <w:rPr>
          <w:rFonts w:ascii="Verdana" w:hAnsi="Verdana"/>
          <w:b/>
          <w:bCs/>
        </w:rPr>
        <w:t>The sealed quotations may be sent to “</w:t>
      </w:r>
      <w:r w:rsidR="003F267C" w:rsidRPr="00824DEB">
        <w:rPr>
          <w:rFonts w:ascii="Verdana" w:hAnsi="Verdana"/>
          <w:b/>
          <w:bCs/>
          <w:color w:val="C45911" w:themeColor="accent2" w:themeShade="BF"/>
        </w:rPr>
        <w:t xml:space="preserve">The Registrar, Sri </w:t>
      </w:r>
      <w:proofErr w:type="spellStart"/>
      <w:r w:rsidR="003F267C" w:rsidRPr="00824DEB">
        <w:rPr>
          <w:rFonts w:ascii="Verdana" w:hAnsi="Verdana"/>
          <w:b/>
          <w:bCs/>
          <w:color w:val="C45911" w:themeColor="accent2" w:themeShade="BF"/>
        </w:rPr>
        <w:t>Krishnadevaraya</w:t>
      </w:r>
      <w:proofErr w:type="spellEnd"/>
      <w:r w:rsidR="003F267C" w:rsidRPr="00824DEB">
        <w:rPr>
          <w:rFonts w:ascii="Verdana" w:hAnsi="Verdana"/>
          <w:b/>
          <w:bCs/>
          <w:color w:val="C45911" w:themeColor="accent2" w:themeShade="BF"/>
        </w:rPr>
        <w:t xml:space="preserve"> University, </w:t>
      </w:r>
      <w:proofErr w:type="spellStart"/>
      <w:r w:rsidR="003F267C" w:rsidRPr="00824DEB">
        <w:rPr>
          <w:rFonts w:ascii="Verdana" w:hAnsi="Verdana"/>
          <w:b/>
          <w:bCs/>
          <w:color w:val="C45911" w:themeColor="accent2" w:themeShade="BF"/>
        </w:rPr>
        <w:t>Ananthapuramu</w:t>
      </w:r>
      <w:proofErr w:type="spellEnd"/>
      <w:r w:rsidR="003F267C" w:rsidRPr="00824DEB">
        <w:rPr>
          <w:rFonts w:ascii="Verdana" w:hAnsi="Verdana"/>
          <w:b/>
          <w:bCs/>
          <w:color w:val="C45911" w:themeColor="accent2" w:themeShade="BF"/>
        </w:rPr>
        <w:t xml:space="preserve"> – 515 003</w:t>
      </w:r>
      <w:r w:rsidR="007411C4" w:rsidRPr="00824DEB">
        <w:rPr>
          <w:rFonts w:ascii="Verdana" w:hAnsi="Verdana"/>
          <w:b/>
          <w:bCs/>
        </w:rPr>
        <w:t>”</w:t>
      </w:r>
      <w:r w:rsidR="003F267C" w:rsidRPr="00824DEB">
        <w:rPr>
          <w:rFonts w:ascii="Verdana" w:hAnsi="Verdana"/>
          <w:b/>
          <w:bCs/>
        </w:rPr>
        <w:t xml:space="preserve"> superscribing that the “</w:t>
      </w:r>
      <w:r w:rsidR="003F267C" w:rsidRPr="00824DEB">
        <w:rPr>
          <w:rFonts w:ascii="Verdana" w:hAnsi="Verdana"/>
          <w:b/>
          <w:bCs/>
          <w:color w:val="7030A0"/>
        </w:rPr>
        <w:t>Quotations for 10 KVA UPS</w:t>
      </w:r>
      <w:r w:rsidR="003F267C" w:rsidRPr="00824DEB">
        <w:rPr>
          <w:rFonts w:ascii="Verdana" w:hAnsi="Verdana"/>
          <w:b/>
          <w:bCs/>
        </w:rPr>
        <w:t>”</w:t>
      </w:r>
      <w:r w:rsidR="007411C4" w:rsidRPr="00824DEB">
        <w:rPr>
          <w:rFonts w:ascii="Verdana" w:hAnsi="Verdana"/>
          <w:b/>
          <w:bCs/>
        </w:rPr>
        <w:t xml:space="preserve"> on or before </w:t>
      </w:r>
      <w:r>
        <w:rPr>
          <w:rFonts w:ascii="Verdana" w:hAnsi="Verdana"/>
          <w:b/>
          <w:bCs/>
        </w:rPr>
        <w:t>26</w:t>
      </w:r>
      <w:r w:rsidR="007411C4" w:rsidRPr="00824DEB">
        <w:rPr>
          <w:rFonts w:ascii="Verdana" w:hAnsi="Verdana"/>
          <w:b/>
          <w:bCs/>
        </w:rPr>
        <w:t>-03-2021</w:t>
      </w:r>
    </w:p>
    <w:p w:rsidR="00BD020C" w:rsidRDefault="003F267C" w:rsidP="00BD020C">
      <w:pPr>
        <w:ind w:left="1288" w:hanging="1288"/>
        <w:jc w:val="both"/>
        <w:rPr>
          <w:rFonts w:ascii="Verdana" w:hAnsi="Verdana"/>
          <w:b/>
          <w:bCs/>
        </w:rPr>
      </w:pPr>
      <w:r w:rsidRPr="00824DEB">
        <w:rPr>
          <w:rFonts w:ascii="Verdana" w:hAnsi="Verdana"/>
          <w:b/>
          <w:bCs/>
        </w:rPr>
        <w:tab/>
      </w:r>
      <w:r w:rsidR="00BD020C">
        <w:rPr>
          <w:rFonts w:ascii="Verdana" w:hAnsi="Verdana"/>
          <w:b/>
          <w:bCs/>
        </w:rPr>
        <w:tab/>
      </w:r>
      <w:r w:rsidR="00BD020C">
        <w:rPr>
          <w:rFonts w:ascii="Verdana" w:hAnsi="Verdana"/>
          <w:b/>
          <w:bCs/>
        </w:rPr>
        <w:tab/>
      </w:r>
      <w:r w:rsidR="00BD020C">
        <w:rPr>
          <w:rFonts w:ascii="Verdana" w:hAnsi="Verdana"/>
          <w:b/>
          <w:bCs/>
        </w:rPr>
        <w:tab/>
      </w:r>
      <w:r w:rsidR="00BD020C">
        <w:rPr>
          <w:rFonts w:ascii="Verdana" w:hAnsi="Verdana"/>
          <w:b/>
          <w:bCs/>
        </w:rPr>
        <w:tab/>
      </w:r>
      <w:r w:rsidR="00BD020C">
        <w:rPr>
          <w:rFonts w:ascii="Verdana" w:hAnsi="Verdana"/>
          <w:b/>
          <w:bCs/>
        </w:rPr>
        <w:tab/>
      </w:r>
      <w:r w:rsidR="00BD020C">
        <w:rPr>
          <w:rFonts w:ascii="Verdana" w:hAnsi="Verdana"/>
          <w:b/>
          <w:bCs/>
        </w:rPr>
        <w:tab/>
      </w:r>
      <w:r w:rsidR="00BD020C">
        <w:rPr>
          <w:rFonts w:ascii="Verdana" w:hAnsi="Verdana"/>
          <w:b/>
          <w:bCs/>
        </w:rPr>
        <w:tab/>
      </w:r>
      <w:r w:rsidR="00BD020C">
        <w:rPr>
          <w:rFonts w:ascii="Verdana" w:hAnsi="Verdana"/>
          <w:b/>
          <w:bCs/>
        </w:rPr>
        <w:tab/>
      </w:r>
      <w:proofErr w:type="spellStart"/>
      <w:proofErr w:type="gramStart"/>
      <w:r w:rsidR="00BD020C" w:rsidRPr="00BD020C">
        <w:rPr>
          <w:rFonts w:ascii="Verdana" w:hAnsi="Verdana"/>
          <w:b/>
          <w:bCs/>
        </w:rPr>
        <w:t>Sd</w:t>
      </w:r>
      <w:proofErr w:type="spellEnd"/>
      <w:proofErr w:type="gramEnd"/>
      <w:r w:rsidR="00BD020C" w:rsidRPr="00BD020C">
        <w:rPr>
          <w:rFonts w:ascii="Verdana" w:hAnsi="Verdana"/>
          <w:b/>
          <w:bCs/>
        </w:rPr>
        <w:t xml:space="preserve">/- </w:t>
      </w:r>
    </w:p>
    <w:p w:rsidR="007411C4" w:rsidRPr="00BD020C" w:rsidRDefault="00BD020C" w:rsidP="00BD020C">
      <w:pPr>
        <w:ind w:left="5456" w:firstLine="152"/>
        <w:jc w:val="center"/>
        <w:rPr>
          <w:rFonts w:ascii="Verdana" w:hAnsi="Verdana"/>
          <w:b/>
          <w:bCs/>
        </w:rPr>
      </w:pPr>
      <w:r w:rsidRPr="00BD020C">
        <w:rPr>
          <w:rFonts w:ascii="Verdana" w:hAnsi="Verdana"/>
          <w:b/>
          <w:bCs/>
        </w:rPr>
        <w:t>Registrar</w:t>
      </w:r>
    </w:p>
    <w:p w:rsidR="000078A9" w:rsidRPr="000078A9" w:rsidRDefault="000078A9" w:rsidP="000078A9">
      <w:pPr>
        <w:ind w:left="1288" w:hanging="1288"/>
        <w:jc w:val="both"/>
        <w:rPr>
          <w:b/>
          <w:bCs/>
        </w:rPr>
      </w:pPr>
    </w:p>
    <w:sectPr w:rsidR="000078A9" w:rsidRPr="000078A9" w:rsidSect="001D78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82F6B"/>
    <w:multiLevelType w:val="hybridMultilevel"/>
    <w:tmpl w:val="DA905648"/>
    <w:lvl w:ilvl="0" w:tplc="D3B43E2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065" w:hanging="360"/>
      </w:pPr>
    </w:lvl>
    <w:lvl w:ilvl="2" w:tplc="4009001B" w:tentative="1">
      <w:start w:val="1"/>
      <w:numFmt w:val="lowerRoman"/>
      <w:lvlText w:val="%3."/>
      <w:lvlJc w:val="right"/>
      <w:pPr>
        <w:ind w:left="3785" w:hanging="180"/>
      </w:pPr>
    </w:lvl>
    <w:lvl w:ilvl="3" w:tplc="4009000F" w:tentative="1">
      <w:start w:val="1"/>
      <w:numFmt w:val="decimal"/>
      <w:lvlText w:val="%4."/>
      <w:lvlJc w:val="left"/>
      <w:pPr>
        <w:ind w:left="4505" w:hanging="360"/>
      </w:pPr>
    </w:lvl>
    <w:lvl w:ilvl="4" w:tplc="40090019" w:tentative="1">
      <w:start w:val="1"/>
      <w:numFmt w:val="lowerLetter"/>
      <w:lvlText w:val="%5."/>
      <w:lvlJc w:val="left"/>
      <w:pPr>
        <w:ind w:left="5225" w:hanging="360"/>
      </w:pPr>
    </w:lvl>
    <w:lvl w:ilvl="5" w:tplc="4009001B" w:tentative="1">
      <w:start w:val="1"/>
      <w:numFmt w:val="lowerRoman"/>
      <w:lvlText w:val="%6."/>
      <w:lvlJc w:val="right"/>
      <w:pPr>
        <w:ind w:left="5945" w:hanging="180"/>
      </w:pPr>
    </w:lvl>
    <w:lvl w:ilvl="6" w:tplc="4009000F" w:tentative="1">
      <w:start w:val="1"/>
      <w:numFmt w:val="decimal"/>
      <w:lvlText w:val="%7."/>
      <w:lvlJc w:val="left"/>
      <w:pPr>
        <w:ind w:left="6665" w:hanging="360"/>
      </w:pPr>
    </w:lvl>
    <w:lvl w:ilvl="7" w:tplc="40090019" w:tentative="1">
      <w:start w:val="1"/>
      <w:numFmt w:val="lowerLetter"/>
      <w:lvlText w:val="%8."/>
      <w:lvlJc w:val="left"/>
      <w:pPr>
        <w:ind w:left="7385" w:hanging="360"/>
      </w:pPr>
    </w:lvl>
    <w:lvl w:ilvl="8" w:tplc="40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62553345"/>
    <w:multiLevelType w:val="hybridMultilevel"/>
    <w:tmpl w:val="FAF42CEE"/>
    <w:lvl w:ilvl="0" w:tplc="FC04AD04">
      <w:start w:val="1"/>
      <w:numFmt w:val="decimal"/>
      <w:lvlText w:val="(%1)"/>
      <w:lvlJc w:val="left"/>
      <w:pPr>
        <w:ind w:left="16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70" w:hanging="360"/>
      </w:pPr>
    </w:lvl>
    <w:lvl w:ilvl="2" w:tplc="4009001B" w:tentative="1">
      <w:start w:val="1"/>
      <w:numFmt w:val="lowerRoman"/>
      <w:lvlText w:val="%3."/>
      <w:lvlJc w:val="right"/>
      <w:pPr>
        <w:ind w:left="3090" w:hanging="180"/>
      </w:pPr>
    </w:lvl>
    <w:lvl w:ilvl="3" w:tplc="4009000F" w:tentative="1">
      <w:start w:val="1"/>
      <w:numFmt w:val="decimal"/>
      <w:lvlText w:val="%4."/>
      <w:lvlJc w:val="left"/>
      <w:pPr>
        <w:ind w:left="3810" w:hanging="360"/>
      </w:pPr>
    </w:lvl>
    <w:lvl w:ilvl="4" w:tplc="40090019" w:tentative="1">
      <w:start w:val="1"/>
      <w:numFmt w:val="lowerLetter"/>
      <w:lvlText w:val="%5."/>
      <w:lvlJc w:val="left"/>
      <w:pPr>
        <w:ind w:left="4530" w:hanging="360"/>
      </w:pPr>
    </w:lvl>
    <w:lvl w:ilvl="5" w:tplc="4009001B" w:tentative="1">
      <w:start w:val="1"/>
      <w:numFmt w:val="lowerRoman"/>
      <w:lvlText w:val="%6."/>
      <w:lvlJc w:val="right"/>
      <w:pPr>
        <w:ind w:left="5250" w:hanging="180"/>
      </w:pPr>
    </w:lvl>
    <w:lvl w:ilvl="6" w:tplc="4009000F" w:tentative="1">
      <w:start w:val="1"/>
      <w:numFmt w:val="decimal"/>
      <w:lvlText w:val="%7."/>
      <w:lvlJc w:val="left"/>
      <w:pPr>
        <w:ind w:left="5970" w:hanging="360"/>
      </w:pPr>
    </w:lvl>
    <w:lvl w:ilvl="7" w:tplc="40090019" w:tentative="1">
      <w:start w:val="1"/>
      <w:numFmt w:val="lowerLetter"/>
      <w:lvlText w:val="%8."/>
      <w:lvlJc w:val="left"/>
      <w:pPr>
        <w:ind w:left="6690" w:hanging="360"/>
      </w:pPr>
    </w:lvl>
    <w:lvl w:ilvl="8" w:tplc="40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67811A57"/>
    <w:multiLevelType w:val="hybridMultilevel"/>
    <w:tmpl w:val="5C4C3208"/>
    <w:lvl w:ilvl="0" w:tplc="41F015A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0078A9"/>
    <w:rsid w:val="000078A9"/>
    <w:rsid w:val="001D7824"/>
    <w:rsid w:val="001F34F8"/>
    <w:rsid w:val="001F561F"/>
    <w:rsid w:val="003F267C"/>
    <w:rsid w:val="006A2916"/>
    <w:rsid w:val="007411C4"/>
    <w:rsid w:val="00824DEB"/>
    <w:rsid w:val="00BD020C"/>
    <w:rsid w:val="00DF3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8A9"/>
    <w:pPr>
      <w:ind w:left="720"/>
      <w:contextualSpacing/>
    </w:pPr>
  </w:style>
  <w:style w:type="table" w:styleId="TableGrid">
    <w:name w:val="Table Grid"/>
    <w:basedOn w:val="TableNormal"/>
    <w:uiPriority w:val="39"/>
    <w:rsid w:val="003F2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8A9"/>
    <w:pPr>
      <w:ind w:left="720"/>
      <w:contextualSpacing/>
    </w:pPr>
  </w:style>
  <w:style w:type="table" w:styleId="TableGrid">
    <w:name w:val="Table Grid"/>
    <w:basedOn w:val="TableNormal"/>
    <w:uiPriority w:val="39"/>
    <w:rsid w:val="003F2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ugexaminations</dc:creator>
  <cp:lastModifiedBy>Malli</cp:lastModifiedBy>
  <cp:revision>2</cp:revision>
  <cp:lastPrinted>2021-03-08T10:53:00Z</cp:lastPrinted>
  <dcterms:created xsi:type="dcterms:W3CDTF">2021-03-16T08:44:00Z</dcterms:created>
  <dcterms:modified xsi:type="dcterms:W3CDTF">2021-03-16T08:44:00Z</dcterms:modified>
</cp:coreProperties>
</file>